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FE3F1" w14:textId="3124A7AD" w:rsidR="000843A9" w:rsidRDefault="000843A9" w:rsidP="000843A9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</w:pPr>
      <w:r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  <w:t xml:space="preserve">Uklart vand - </w:t>
      </w:r>
      <w:proofErr w:type="spellStart"/>
      <w:r w:rsidR="00AD229D" w:rsidRPr="00AD229D"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  <w:t>Flokningsproblemer</w:t>
      </w:r>
      <w:proofErr w:type="spellEnd"/>
    </w:p>
    <w:p w14:paraId="02486B42" w14:textId="300B956B" w:rsidR="00AD229D" w:rsidRPr="000843A9" w:rsidRDefault="000843A9" w:rsidP="000843A9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</w:pPr>
      <w:r w:rsidRPr="00AD229D">
        <w:rPr>
          <w:rFonts w:ascii="Tahoma" w:eastAsia="Times New Roman" w:hAnsi="Tahoma" w:cs="Tahoma"/>
          <w:i/>
          <w:iCs/>
          <w:color w:val="597073"/>
          <w:kern w:val="0"/>
          <w:sz w:val="18"/>
          <w:szCs w:val="18"/>
          <w:lang w:eastAsia="da-DK"/>
          <w14:ligatures w14:val="none"/>
        </w:rPr>
        <w:t xml:space="preserve"> </w:t>
      </w:r>
    </w:p>
    <w:p w14:paraId="2F477688" w14:textId="13BD883E" w:rsidR="00AD229D" w:rsidRDefault="00AD229D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Når vandets indhold af små affaldsstoffer er for</w:t>
      </w:r>
      <w:r w:rsidR="000843A9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</w:t>
      </w:r>
      <w:proofErr w:type="gram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stort</w:t>
      </w:r>
      <w:proofErr w:type="gram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bliver vandet ugennemsigtigt</w:t>
      </w:r>
      <w:r w:rsidR="006B0603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. </w:t>
      </w: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De har det</w:t>
      </w:r>
      <w:r w:rsidR="006B0603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,</w:t>
      </w: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man i fagsprog kalder et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flokningsproblem</w:t>
      </w:r>
      <w:proofErr w:type="spellEnd"/>
    </w:p>
    <w:p w14:paraId="1C5D2F82" w14:textId="77777777" w:rsidR="006B0603" w:rsidRPr="00AD229D" w:rsidRDefault="006B0603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61C262F2" w14:textId="77777777" w:rsidR="006B0603" w:rsidRDefault="00AD229D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Det er sandfiltret, der renser vandet mekanisk for disse urenheder. Sandfiltret kan imidlertid kun fjerne urenheder, der er større end 40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mikron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. Urenheder, der er mindre end 40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mikron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går bare lige igennem sandfiltret uden af blive opfanget.</w:t>
      </w:r>
    </w:p>
    <w:p w14:paraId="639AFD2E" w14:textId="3DF45735" w:rsidR="00AD229D" w:rsidRDefault="00AD229D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I disse situationer og altid ved opstart, tilsættes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flokningsmidler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.</w:t>
      </w:r>
    </w:p>
    <w:p w14:paraId="29310E50" w14:textId="77777777" w:rsidR="006B0603" w:rsidRPr="00AD229D" w:rsidRDefault="006B0603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1FBCDAAB" w14:textId="77777777" w:rsidR="006B0603" w:rsidRDefault="00AD229D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Flokningsmidler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er aluminiumsforbindelser, der ved kontakt med vandet udvikler klæbrige gelatineforbindelser.</w:t>
      </w: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De små partikler hænger nu fast i de klæbrige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gelantineforbindelser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og bliver på den måde til større enheder der kan opfanges af sandfiltret</w:t>
      </w:r>
    </w:p>
    <w:p w14:paraId="4BEFC0FD" w14:textId="59FED1A0" w:rsidR="00AD229D" w:rsidRPr="00AD229D" w:rsidRDefault="00AD229D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Metoden kendes blandt vinbryggere, idet det er den samme proces, der foretages, når en vin skal “klares”</w:t>
      </w:r>
    </w:p>
    <w:p w14:paraId="47CB8207" w14:textId="77777777" w:rsidR="00AD229D" w:rsidRPr="00AD229D" w:rsidRDefault="00AD229D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Der findes 2 typer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flokningsmidler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:</w:t>
      </w:r>
    </w:p>
    <w:p w14:paraId="65481165" w14:textId="77777777" w:rsidR="00AD229D" w:rsidRPr="00AD229D" w:rsidRDefault="00AD229D" w:rsidP="00AD229D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Faste i tabletform</w:t>
      </w:r>
    </w:p>
    <w:p w14:paraId="18D03B24" w14:textId="77777777" w:rsidR="00AD229D" w:rsidRPr="00AD229D" w:rsidRDefault="00AD229D" w:rsidP="00AD229D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Flydende</w:t>
      </w:r>
    </w:p>
    <w:p w14:paraId="077999B1" w14:textId="77777777" w:rsidR="00AD229D" w:rsidRDefault="00AD229D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Begge er aluminiumsforbindelser. Forskellen mellem dem er </w:t>
      </w: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u w:val="single"/>
          <w:lang w:eastAsia="da-DK"/>
          <w14:ligatures w14:val="none"/>
        </w:rPr>
        <w:t>hvor</w:t>
      </w: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 i kredsløbet de ”flokker” og </w:t>
      </w: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u w:val="single"/>
          <w:lang w:eastAsia="da-DK"/>
          <w14:ligatures w14:val="none"/>
        </w:rPr>
        <w:t>hvor meget</w:t>
      </w: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 de flokker.</w:t>
      </w:r>
    </w:p>
    <w:p w14:paraId="271F4A4F" w14:textId="77777777" w:rsidR="006B0603" w:rsidRPr="00AD229D" w:rsidRDefault="006B0603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5F09C4F6" w14:textId="77777777" w:rsidR="00AD229D" w:rsidRDefault="00AD229D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De faste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flokningsmidler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lægges i skimmeren og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flokningen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sker derefter på vejen fra skimmeren og til filtet, hvor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uenhederne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opfanges med det samme.</w:t>
      </w: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De flydende hældes ud i bassinvandet og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flokningen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sker ude i selve bassinet</w:t>
      </w:r>
    </w:p>
    <w:p w14:paraId="1EF1C8EB" w14:textId="77777777" w:rsidR="006B0603" w:rsidRPr="00AD229D" w:rsidRDefault="006B0603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14D5EAE9" w14:textId="77777777" w:rsidR="00AD229D" w:rsidRPr="00AD229D" w:rsidRDefault="00AD229D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Mens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flokningen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sker automatisk når De bruger de faste former, er der en bestemt procedure når De bruger flydende former</w:t>
      </w:r>
    </w:p>
    <w:p w14:paraId="6DA1A271" w14:textId="77777777" w:rsidR="00AD229D" w:rsidRPr="00AD229D" w:rsidRDefault="00AD229D" w:rsidP="00AD229D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Tilsæt </w:t>
      </w:r>
      <w:proofErr w:type="spell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flokningsmidlet</w:t>
      </w:r>
      <w:proofErr w:type="spellEnd"/>
    </w:p>
    <w:p w14:paraId="6CE1B2EC" w14:textId="77777777" w:rsidR="00AD229D" w:rsidRPr="00AD229D" w:rsidRDefault="00AD229D" w:rsidP="00AD229D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Lad pumpen køre i 5-6 timer</w:t>
      </w:r>
    </w:p>
    <w:p w14:paraId="2999FAE7" w14:textId="77777777" w:rsidR="00AD229D" w:rsidRPr="00AD229D" w:rsidRDefault="00AD229D" w:rsidP="00AD229D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Sæt støvsugeren ned på bunden, så den senere ikke hvirvler urenhederne op efter de har bundfældet sig</w:t>
      </w:r>
    </w:p>
    <w:p w14:paraId="133B2A71" w14:textId="77777777" w:rsidR="00AD229D" w:rsidRPr="00AD229D" w:rsidRDefault="00AD229D" w:rsidP="00AD229D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Sluk pumpen i 1 døgn og giv urenhederne tid til at synke ned på bunden</w:t>
      </w:r>
    </w:p>
    <w:p w14:paraId="5FD7DF34" w14:textId="77777777" w:rsidR="00AD229D" w:rsidRPr="00AD229D" w:rsidRDefault="00AD229D" w:rsidP="00AD229D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Sæt </w:t>
      </w:r>
      <w:proofErr w:type="gram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6 vejs</w:t>
      </w:r>
      <w:proofErr w:type="gramEnd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ventilen på Waste</w:t>
      </w:r>
    </w:p>
    <w:p w14:paraId="779AC9E5" w14:textId="77777777" w:rsidR="00AD229D" w:rsidRPr="00AD229D" w:rsidRDefault="00AD229D" w:rsidP="00AD229D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Tænd pumpen og støvsug bunden og led vandet direkte ud i kloak</w:t>
      </w:r>
    </w:p>
    <w:p w14:paraId="084047A3" w14:textId="77777777" w:rsidR="00AD229D" w:rsidRDefault="00AD229D" w:rsidP="00AD229D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Sæt </w:t>
      </w:r>
      <w:proofErr w:type="gram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6 vejs</w:t>
      </w:r>
      <w:proofErr w:type="gramEnd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ventilen tilbage på filter</w:t>
      </w:r>
    </w:p>
    <w:p w14:paraId="1F30C517" w14:textId="77777777" w:rsidR="006B0603" w:rsidRPr="00AD229D" w:rsidRDefault="006B0603" w:rsidP="00CF6A0E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</w:p>
    <w:p w14:paraId="2508EBFE" w14:textId="67742273" w:rsidR="00AD229D" w:rsidRDefault="00AD229D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I mange bassiner og altid i svømmehaller, tilsættes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flokningsmidler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løbende </w:t>
      </w:r>
      <w:r w:rsidR="00CF6A0E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og kontinuerligt via dosserings</w:t>
      </w:r>
      <w:r w:rsidR="006375E0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anlæg</w:t>
      </w: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. </w:t>
      </w:r>
      <w:proofErr w:type="gram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Såfremt</w:t>
      </w:r>
      <w:proofErr w:type="gram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De tilsætter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flokningsmiddel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som forebyggende, følger De ikke ovenstående procedure. De tilsætter bare midlet, og filtret vil så løbende opfange urenhederne</w:t>
      </w:r>
    </w:p>
    <w:p w14:paraId="42D7824B" w14:textId="77777777" w:rsidR="006375E0" w:rsidRPr="00AD229D" w:rsidRDefault="006375E0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62523674" w14:textId="77777777" w:rsidR="00AD229D" w:rsidRPr="00AD229D" w:rsidRDefault="00AD229D" w:rsidP="00AD229D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</w:pPr>
      <w:r w:rsidRPr="00AD229D"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  <w:t>OBS:</w:t>
      </w:r>
    </w:p>
    <w:p w14:paraId="06FFEF6A" w14:textId="77777777" w:rsidR="00AD229D" w:rsidRPr="00AD229D" w:rsidRDefault="00AD229D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En anden forskel på metoderne er, at med tabletten bliver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flokningsmidlet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ikke overdoseret.</w:t>
      </w: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Med det flydende bliver der derimod næsten altid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overdosseret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, hvilket så medfører, at der kommer langt mere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udflokning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og arbejde end nødvendigt. Flydende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flokning</w:t>
      </w:r>
      <w:proofErr w:type="spell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bør derfor kun benyttes </w:t>
      </w:r>
      <w:proofErr w:type="gram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såfremt</w:t>
      </w:r>
      <w:proofErr w:type="gramEnd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man har et virkeligt stort </w:t>
      </w:r>
      <w:proofErr w:type="spellStart"/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flokningsproblem</w:t>
      </w:r>
      <w:proofErr w:type="spellEnd"/>
    </w:p>
    <w:p w14:paraId="23905EDF" w14:textId="77777777" w:rsidR="00AD229D" w:rsidRPr="00AD229D" w:rsidRDefault="00AD229D" w:rsidP="00AD229D">
      <w:pPr>
        <w:shd w:val="clear" w:color="auto" w:fill="FFFFFF"/>
        <w:spacing w:before="180" w:after="45" w:line="240" w:lineRule="auto"/>
        <w:outlineLvl w:val="1"/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</w:pPr>
      <w:r w:rsidRPr="00AD229D"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  <w:t xml:space="preserve">Vigtige forhold omkring </w:t>
      </w:r>
      <w:proofErr w:type="spellStart"/>
      <w:r w:rsidRPr="00AD229D">
        <w:rPr>
          <w:rFonts w:ascii="Verdana" w:eastAsia="Times New Roman" w:hAnsi="Verdana" w:cs="Tahoma"/>
          <w:b/>
          <w:bCs/>
          <w:color w:val="1B7698"/>
          <w:kern w:val="0"/>
          <w:sz w:val="24"/>
          <w:szCs w:val="24"/>
          <w:lang w:eastAsia="da-DK"/>
          <w14:ligatures w14:val="none"/>
        </w:rPr>
        <w:t>flokning</w:t>
      </w:r>
      <w:proofErr w:type="spellEnd"/>
    </w:p>
    <w:p w14:paraId="74944EAD" w14:textId="77777777" w:rsidR="00AD229D" w:rsidRPr="00AD229D" w:rsidRDefault="00AD229D" w:rsidP="00AD229D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proofErr w:type="spell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Flokningsmidler</w:t>
      </w:r>
      <w:proofErr w:type="spellEnd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opløses af sig selv efter 7 dage. Det er derfor vigtigt, at der blive returskyllet senest 6 dage efter der er brugt </w:t>
      </w:r>
      <w:proofErr w:type="spell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flokningsmidler</w:t>
      </w:r>
      <w:proofErr w:type="spellEnd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. I modsat fald vil det flokkede materiale løbe tilbage i swimmingpoolen.</w:t>
      </w:r>
    </w:p>
    <w:p w14:paraId="789B2F7E" w14:textId="77777777" w:rsidR="00AD229D" w:rsidRPr="00AD229D" w:rsidRDefault="00AD229D" w:rsidP="00AD229D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Der kan ikke bruges </w:t>
      </w:r>
      <w:proofErr w:type="spell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flokningsmidler</w:t>
      </w:r>
      <w:proofErr w:type="spellEnd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i de såkaldte papirfiltre og </w:t>
      </w:r>
      <w:proofErr w:type="spell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kilsergurfiltre</w:t>
      </w:r>
      <w:proofErr w:type="spellEnd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. Papirfiltre fanger partikler der </w:t>
      </w:r>
      <w:proofErr w:type="gram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er ikke er</w:t>
      </w:r>
      <w:proofErr w:type="gramEnd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større end 5-10 </w:t>
      </w:r>
      <w:proofErr w:type="spell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micron</w:t>
      </w:r>
      <w:proofErr w:type="spellEnd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– i modsætning til sandfiltrets 20-40 </w:t>
      </w:r>
      <w:proofErr w:type="spell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micron</w:t>
      </w:r>
      <w:proofErr w:type="spellEnd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, og derfor vil de ved brug af </w:t>
      </w:r>
      <w:proofErr w:type="spell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flokningsmidler</w:t>
      </w:r>
      <w:proofErr w:type="spellEnd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stoppe til lynhurtigt.</w:t>
      </w:r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br/>
        <w:t xml:space="preserve">Hvis man bruger kiselgurfilter, så fanger de urenheder der ikke er større end 1-2 </w:t>
      </w:r>
      <w:proofErr w:type="spell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micron</w:t>
      </w:r>
      <w:proofErr w:type="spellEnd"/>
    </w:p>
    <w:p w14:paraId="7479DD4C" w14:textId="77777777" w:rsidR="00AD229D" w:rsidRPr="00AD229D" w:rsidRDefault="00AD229D" w:rsidP="00AD229D">
      <w:pPr>
        <w:numPr>
          <w:ilvl w:val="0"/>
          <w:numId w:val="3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Der må ikke bruges </w:t>
      </w:r>
      <w:proofErr w:type="spell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flokningsmidler</w:t>
      </w:r>
      <w:proofErr w:type="spellEnd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sammen med Nature 2 produkter. De keramiske kerner i Nature 2 fungerer i sig selv som </w:t>
      </w:r>
      <w:proofErr w:type="spell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flokningsmidler</w:t>
      </w:r>
      <w:proofErr w:type="spellEnd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.</w:t>
      </w:r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br/>
      </w:r>
      <w:proofErr w:type="gram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Såfremt</w:t>
      </w:r>
      <w:proofErr w:type="gramEnd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der bruges </w:t>
      </w:r>
      <w:proofErr w:type="spell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std</w:t>
      </w:r>
      <w:proofErr w:type="spellEnd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. </w:t>
      </w:r>
      <w:proofErr w:type="spellStart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flokningsmidler</w:t>
      </w:r>
      <w:proofErr w:type="spellEnd"/>
      <w:r w:rsidRPr="00AD229D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vil disse stoppe de keramiske kerner til</w:t>
      </w:r>
    </w:p>
    <w:p w14:paraId="022B9570" w14:textId="77777777" w:rsidR="00AD229D" w:rsidRPr="00AD229D" w:rsidRDefault="00AD229D" w:rsidP="00AD22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AD229D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 </w:t>
      </w:r>
    </w:p>
    <w:p w14:paraId="389FAF52" w14:textId="77777777" w:rsidR="004A52A3" w:rsidRDefault="004A52A3"/>
    <w:sectPr w:rsidR="004A52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F1416"/>
    <w:multiLevelType w:val="multilevel"/>
    <w:tmpl w:val="ACAE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B1FFB"/>
    <w:multiLevelType w:val="multilevel"/>
    <w:tmpl w:val="2DA4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E7CD2"/>
    <w:multiLevelType w:val="multilevel"/>
    <w:tmpl w:val="D396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558634">
    <w:abstractNumId w:val="2"/>
  </w:num>
  <w:num w:numId="2" w16cid:durableId="752043014">
    <w:abstractNumId w:val="0"/>
  </w:num>
  <w:num w:numId="3" w16cid:durableId="1964918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9D"/>
    <w:rsid w:val="000843A9"/>
    <w:rsid w:val="0034469C"/>
    <w:rsid w:val="004A52A3"/>
    <w:rsid w:val="006375E0"/>
    <w:rsid w:val="006B0603"/>
    <w:rsid w:val="009962E0"/>
    <w:rsid w:val="00AD229D"/>
    <w:rsid w:val="00C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3399"/>
  <w15:chartTrackingRefBased/>
  <w15:docId w15:val="{F9E0B267-AED5-4D09-8231-993E46E0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2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2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2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D2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D2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D2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D2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D2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D2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D2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D2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D2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D229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D229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D22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D22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D22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D22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D2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D2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D2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D2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D2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D229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D229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D229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D2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D229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D2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frøslev</dc:creator>
  <cp:keywords/>
  <dc:description/>
  <cp:lastModifiedBy>bjarne frøslev</cp:lastModifiedBy>
  <cp:revision>2</cp:revision>
  <cp:lastPrinted>2024-12-06T09:52:00Z</cp:lastPrinted>
  <dcterms:created xsi:type="dcterms:W3CDTF">2024-12-13T21:27:00Z</dcterms:created>
  <dcterms:modified xsi:type="dcterms:W3CDTF">2024-12-13T21:27:00Z</dcterms:modified>
</cp:coreProperties>
</file>